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320" w:firstLineChars="100"/>
        <w:jc w:val="both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320" w:firstLineChars="100"/>
        <w:jc w:val="both"/>
        <w:rPr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320" w:firstLineChars="100"/>
        <w:jc w:val="both"/>
        <w:rPr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520" w:firstLineChars="100"/>
        <w:jc w:val="center"/>
        <w:rPr>
          <w:rFonts w:eastAsia="黑体"/>
          <w:sz w:val="52"/>
          <w:szCs w:val="24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52"/>
          <w:szCs w:val="24"/>
          <w:lang w:val="en-US" w:eastAsia="zh-CN" w:bidi="ar"/>
        </w:rPr>
        <w:t>2017</w:t>
      </w:r>
      <w:r>
        <w:rPr>
          <w:rFonts w:hint="eastAsia" w:ascii="Times New Roman" w:hAnsi="Times New Roman" w:eastAsia="黑体" w:cs="黑体"/>
          <w:kern w:val="2"/>
          <w:sz w:val="52"/>
          <w:szCs w:val="24"/>
          <w:lang w:val="en-US" w:eastAsia="zh-CN" w:bidi="ar"/>
        </w:rPr>
        <w:t>年国家建筑标准设计编制工作计划</w:t>
      </w: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840" w:firstLineChars="100"/>
        <w:jc w:val="both"/>
        <w:rPr>
          <w:sz w:val="8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840" w:firstLineChars="100"/>
        <w:jc w:val="both"/>
        <w:rPr>
          <w:sz w:val="8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840" w:firstLineChars="100"/>
        <w:jc w:val="both"/>
        <w:rPr>
          <w:sz w:val="8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100"/>
        </w:tabs>
        <w:spacing w:before="0" w:beforeAutospacing="0" w:after="0" w:afterAutospacing="0"/>
        <w:ind w:left="0" w:right="0" w:firstLine="840" w:firstLineChars="100"/>
        <w:jc w:val="both"/>
        <w:rPr>
          <w:sz w:val="8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36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24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kern w:val="2"/>
          <w:sz w:val="36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36"/>
          <w:szCs w:val="24"/>
          <w:lang w:val="en-US" w:eastAsia="zh-CN" w:bidi="ar"/>
        </w:rPr>
        <w:t>9</w:t>
      </w:r>
      <w:r>
        <w:rPr>
          <w:rFonts w:hint="eastAsia" w:ascii="Times New Roman" w:hAnsi="Times New Roman" w:eastAsia="宋体" w:cs="宋体"/>
          <w:kern w:val="2"/>
          <w:sz w:val="36"/>
          <w:szCs w:val="24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36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华文中宋"/>
          <w:b/>
          <w:sz w:val="24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黑体"/>
          <w:b/>
          <w:sz w:val="28"/>
          <w:szCs w:val="32"/>
          <w:lang w:val="en-US"/>
        </w:rPr>
      </w:pPr>
    </w:p>
    <w:p>
      <w:pPr>
        <w:rPr>
          <w:rFonts w:hint="default" w:ascii="Times New Roman" w:hAnsi="Times New Roman" w:eastAsia="黑体" w:cs="Times New Roman"/>
          <w:b/>
          <w:kern w:val="2"/>
          <w:sz w:val="28"/>
          <w:szCs w:val="32"/>
          <w:lang w:val="en-US" w:eastAsia="zh-CN" w:bidi="ar"/>
        </w:rPr>
        <w:sectPr>
          <w:pgSz w:w="16838" w:h="11906" w:orient="landscape"/>
          <w:pgMar w:top="720" w:right="720" w:bottom="720" w:left="720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华文中宋"/>
          <w:b/>
          <w:sz w:val="24"/>
          <w:szCs w:val="28"/>
          <w:lang w:val="en-US"/>
        </w:rPr>
      </w:pPr>
    </w:p>
    <w:tbl>
      <w:tblPr>
        <w:tblStyle w:val="3"/>
        <w:tblW w:w="13357" w:type="dxa"/>
        <w:jc w:val="center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70"/>
        <w:gridCol w:w="3118"/>
        <w:gridCol w:w="3119"/>
        <w:gridCol w:w="1559"/>
        <w:gridCol w:w="1559"/>
        <w:gridCol w:w="1036"/>
      </w:tblGrid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计划建议项目名称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编制内容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主编单位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完成日期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bookmarkStart w:id="0" w:name="C"/>
            <w:bookmarkEnd w:id="0"/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《建筑防水》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建筑各部位防水构造通用做法。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中国建筑标准设计研究院有限公司等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《装配式混凝土结构施工图平面表示方法制图规则和构造详图》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针对装配式混凝土结构，制定相应的规则，设计人员按规则进行表达，统一国内施工图表达方式，配套标准构造节点详图。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中国建筑标准设计研究院有限公司等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《混凝土结构施工钢筋排布规则与构造详图》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指导施工人员进行钢筋施工排布设计、钢筋翻样计算和现场安装绑扎，确保施工时钢筋排布规范有序，实现设计构造与施工建造的有机衔接。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《室外给水工程设计与施工》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输配水管网及附属设施、给水处理、泵站等室外给水工程的设计与施工。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北京市市政工程设计研究总院有限公司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中国建筑设计院有限公司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给水排水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《室外给水蓄水设施设计与施工》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室外钢筋混凝土水池、水塔等蓄水设施的设计与施工。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上海市政工程设计研究总院（集团）有限公司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中铁工程设计咨询集团有限公司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给水排水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《室外排水设施设计与施工》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污水、雨水、再生水、内涝防治、泵站、排水处理及附属构筑物等室外排水处理、提升工程的设计与施工。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北京市市政工程设计研究总院有限公司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中国航天建设集团有限公司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北京市市政工程研究院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给水排水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《供暖、通风和空调风系统管道及部配件选用与安装》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供暖、通风和空调风系统管道及部配件，如各种常用的金属、非金属以及复合材料的风管、配件，以及包括风阀、消声器、风罩、风帽、风口、测量孔、检查门等各种风管部件的选用、安装和制作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暖通空调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《节能及能源综合利用系统设计与安装》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含太阳能、地源热泵、蒸发冷却通风空调、蓄能、变风量空调系统等各种可再生能源利用、节能系统的设计。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中国建筑西南设计研究院有限公司等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暖通空调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《综合布线系统工程设计与施工》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综合布线的系统构成、主要技术指标，各类综合布线系统的设计和配置，综合布线施工，光纤到户解决方案，智慧城市配套网络建设等。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全国工程建设标准设计弱电专业专家委员会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智能化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《装配式桥梁设计与施工》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主要包括人行天桥及有关桥梁的其他工程。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上海市政工程设计研究总院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城市道路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《绿色基础设施设计与施工》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海绵城市建设中所采用的具有雨水收集渗透、调蓄贮存、转输、处理功能的绿色基础设施的设计、选用、施工及维护管理方面的内容。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上海市政工程设计研究总院（集团）有限公司等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给水排水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城市道路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《地铁人防工程设计与施工》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地铁工程口部及人防区间等部位人防防护设计与施工等内容。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中国建筑标准设计研究院有限公司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155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城市轨道交通</w:t>
            </w:r>
          </w:p>
        </w:tc>
        <w:tc>
          <w:tcPr>
            <w:tcW w:w="10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修编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4B1B"/>
    <w:rsid w:val="4C564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2017-10-24T00:40:00Z</dcterms:created>
  <dc:creator>Administrator</dc:creator>
  <cp:lastModifiedBy>Administrator</cp:lastModifiedBy>
  <dcterms:modified xsi:type="dcterms:W3CDTF">2017-10-24T00:40:57Z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